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E8A63C" w:sz="12" w:space="4"/>
        </w:pBdr>
        <w:spacing w:after="160"/>
      </w:pPr>
      <w:r>
        <w:rPr>
          <w:rFonts w:ascii="Cambria" w:cs="Cambria" w:eastAsia="Cambria" w:hAnsi="Cambria"/>
          <w:b/>
          <w:bCs/>
          <w:color w:val="C0451E"/>
          <w:sz w:val="28"/>
          <w:szCs w:val="28"/>
          <w:lang w:val="es-ES" w:eastAsia="es-ES" w:bidi="es-ES"/>
        </w:rPr>
        <w:t xml:space="preserve">ESTATUTOS DE [NOMBRE DE LA ASOCIACIÓN]</w:t>
      </w:r>
    </w:p>
    <w:p>
      <w:pPr>
        <w:pBdr>
          <w:left w:val="single" w:color="C0451E" w:sz="18" w:space="8"/>
        </w:pBdr>
        <w:shd w:fill="F2EFE9" w:val="clear"/>
        <w:spacing w:after="160" w:before="100"/>
      </w:pPr>
      <w:r>
        <w:rPr>
          <w:rFonts w:ascii="Calibri" w:cs="Calibri" w:eastAsia="Calibri" w:hAnsi="Calibri"/>
          <w:i/>
          <w:iCs/>
          <w:color w:val="555555"/>
          <w:sz w:val="18"/>
          <w:szCs w:val="18"/>
          <w:lang w:val="es-ES" w:eastAsia="es-ES" w:bidi="es-ES"/>
        </w:rPr>
        <w:t xml:space="preserve">Esta plantilla recoge una estructura habitual de estatutos para una asociación pequeña, a modo de punto de partida y buena práctica general. Los requisitos concretos (contenido mínimo obligatorio, registro competente, plazos) varían según la comunidad autónoma y el tipo de entidad: contrastadlo con el registro de asociaciones correspondiente o con asesoría legal antes de presentarlos. Sustituid el texto entre corchetes y borrad estas cajas grises.</w:t>
      </w:r>
    </w:p>
    <w:p>
      <w:pPr>
        <w:pBdr>
          <w:bottom w:val="single" w:color="CCCCCC" w:sz="6" w:space="4"/>
        </w:pBdr>
        <w:spacing w:after="100" w:before="260"/>
      </w:pPr>
      <w:r>
        <w:rPr>
          <w:rFonts w:ascii="Cambria" w:cs="Cambria" w:eastAsia="Cambria" w:hAnsi="Cambria"/>
          <w:b/>
          <w:bCs/>
          <w:color w:val="1B2A4A"/>
          <w:sz w:val="24"/>
          <w:szCs w:val="24"/>
          <w:lang w:val="es-ES" w:eastAsia="es-ES" w:bidi="es-ES"/>
        </w:rPr>
        <w:t xml:space="preserve">TÍTULO I. DISPOSICIONES GENERALES</w:t>
      </w:r>
    </w:p>
    <w:p>
      <w:pPr>
        <w:spacing w:after="60" w:before="160"/>
      </w:pPr>
      <w:r>
        <w:rPr>
          <w:rFonts w:ascii="Cambria" w:cs="Cambria" w:eastAsia="Cambria" w:hAnsi="Cambria"/>
          <w:b/>
          <w:bCs/>
          <w:color w:val="C0451E"/>
          <w:sz w:val="21"/>
          <w:szCs w:val="21"/>
          <w:lang w:val="es-ES" w:eastAsia="es-ES" w:bidi="es-ES"/>
        </w:rPr>
        <w:t xml:space="preserve">Artículo 1. Denominación</w:t>
      </w:r>
    </w:p>
    <w:p>
      <w:pPr>
        <w:spacing w:after="120"/>
      </w:pPr>
      <w:r>
        <w:rPr>
          <w:rFonts w:ascii="Calibri" w:cs="Calibri" w:eastAsia="Calibri" w:hAnsi="Calibri"/>
          <w:i/>
          <w:iCs/>
          <w:color w:val="8A8A8A"/>
          <w:sz w:val="21"/>
          <w:szCs w:val="21"/>
          <w:lang w:val="es-ES" w:eastAsia="es-ES" w:bidi="es-ES"/>
        </w:rPr>
        <w:t xml:space="preserve">[Nombre completo de la asociación], que se regirá por los presentes estatutos y, en lo no previsto en ellos, por la normativa vigente en materia de asociaciones.</w:t>
      </w:r>
    </w:p>
    <w:p>
      <w:pPr>
        <w:spacing w:after="60" w:before="160"/>
      </w:pPr>
      <w:r>
        <w:rPr>
          <w:rFonts w:ascii="Cambria" w:cs="Cambria" w:eastAsia="Cambria" w:hAnsi="Cambria"/>
          <w:b/>
          <w:bCs/>
          <w:color w:val="C0451E"/>
          <w:sz w:val="21"/>
          <w:szCs w:val="21"/>
          <w:lang w:val="es-ES" w:eastAsia="es-ES" w:bidi="es-ES"/>
        </w:rPr>
        <w:t xml:space="preserve">Artículo 2. Domicilio</w:t>
      </w:r>
    </w:p>
    <w:p>
      <w:pPr>
        <w:spacing w:after="120"/>
      </w:pPr>
      <w:r>
        <w:rPr>
          <w:rFonts w:ascii="Calibri" w:cs="Calibri" w:eastAsia="Calibri" w:hAnsi="Calibri"/>
          <w:i/>
          <w:iCs/>
          <w:color w:val="8A8A8A"/>
          <w:sz w:val="21"/>
          <w:szCs w:val="21"/>
          <w:lang w:val="es-ES" w:eastAsia="es-ES" w:bidi="es-ES"/>
        </w:rPr>
        <w:t xml:space="preserve">La asociación fija su domicilio social en [dirección completa, localidad, provincia].</w:t>
      </w:r>
    </w:p>
    <w:p>
      <w:pPr>
        <w:spacing w:after="60" w:before="160"/>
      </w:pPr>
      <w:r>
        <w:rPr>
          <w:rFonts w:ascii="Cambria" w:cs="Cambria" w:eastAsia="Cambria" w:hAnsi="Cambria"/>
          <w:b/>
          <w:bCs/>
          <w:color w:val="C0451E"/>
          <w:sz w:val="21"/>
          <w:szCs w:val="21"/>
          <w:lang w:val="es-ES" w:eastAsia="es-ES" w:bidi="es-ES"/>
        </w:rPr>
        <w:t xml:space="preserve">Artículo 3. Ámbito de actuación</w:t>
      </w:r>
    </w:p>
    <w:p>
      <w:pPr>
        <w:spacing w:after="120"/>
      </w:pPr>
      <w:r>
        <w:rPr>
          <w:rFonts w:ascii="Calibri" w:cs="Calibri" w:eastAsia="Calibri" w:hAnsi="Calibri"/>
          <w:i/>
          <w:iCs/>
          <w:color w:val="8A8A8A"/>
          <w:sz w:val="21"/>
          <w:szCs w:val="21"/>
          <w:lang w:val="es-ES" w:eastAsia="es-ES" w:bidi="es-ES"/>
        </w:rPr>
        <w:t xml:space="preserve">El ámbito territorial de actuación de la asociación es [local / autonómico / estatal].</w:t>
      </w:r>
    </w:p>
    <w:p>
      <w:pPr>
        <w:pBdr>
          <w:bottom w:val="single" w:color="CCCCCC" w:sz="6" w:space="4"/>
        </w:pBdr>
        <w:spacing w:after="100" w:before="260"/>
      </w:pPr>
      <w:r>
        <w:rPr>
          <w:rFonts w:ascii="Cambria" w:cs="Cambria" w:eastAsia="Cambria" w:hAnsi="Cambria"/>
          <w:b/>
          <w:bCs/>
          <w:color w:val="1B2A4A"/>
          <w:sz w:val="24"/>
          <w:szCs w:val="24"/>
          <w:lang w:val="es-ES" w:eastAsia="es-ES" w:bidi="es-ES"/>
        </w:rPr>
        <w:t xml:space="preserve">TÍTULO II. FINES Y ACTIVIDADES</w:t>
      </w:r>
    </w:p>
    <w:p>
      <w:pPr>
        <w:spacing w:after="60" w:before="160"/>
      </w:pPr>
      <w:r>
        <w:rPr>
          <w:rFonts w:ascii="Cambria" w:cs="Cambria" w:eastAsia="Cambria" w:hAnsi="Cambria"/>
          <w:b/>
          <w:bCs/>
          <w:color w:val="C0451E"/>
          <w:sz w:val="21"/>
          <w:szCs w:val="21"/>
          <w:lang w:val="es-ES" w:eastAsia="es-ES" w:bidi="es-ES"/>
        </w:rPr>
        <w:t xml:space="preserve">Artículo 4. Fines</w:t>
      </w:r>
    </w:p>
    <w:p>
      <w:pPr>
        <w:spacing w:after="120"/>
      </w:pPr>
      <w:r>
        <w:rPr>
          <w:rFonts w:ascii="Calibri" w:cs="Calibri" w:eastAsia="Calibri" w:hAnsi="Calibri"/>
          <w:i/>
          <w:iCs/>
          <w:color w:val="8A8A8A"/>
          <w:sz w:val="21"/>
          <w:szCs w:val="21"/>
          <w:lang w:val="es-ES" w:eastAsia="es-ES" w:bidi="es-ES"/>
        </w:rPr>
        <w:t xml:space="preserve">Son fines de la asociación: [listad los fines, por ejemplo: la defensa de los derechos humanos en el ámbito local, la sensibilización social, el apoyo a colectivos vulnerables...].</w:t>
      </w:r>
    </w:p>
    <w:p>
      <w:pPr>
        <w:spacing w:after="60" w:before="160"/>
      </w:pPr>
      <w:r>
        <w:rPr>
          <w:rFonts w:ascii="Cambria" w:cs="Cambria" w:eastAsia="Cambria" w:hAnsi="Cambria"/>
          <w:b/>
          <w:bCs/>
          <w:color w:val="C0451E"/>
          <w:sz w:val="21"/>
          <w:szCs w:val="21"/>
          <w:lang w:val="es-ES" w:eastAsia="es-ES" w:bidi="es-ES"/>
        </w:rPr>
        <w:t xml:space="preserve">Artículo 5. Actividades</w:t>
      </w:r>
    </w:p>
    <w:p>
      <w:pPr>
        <w:spacing w:after="120"/>
      </w:pPr>
      <w:r>
        <w:rPr>
          <w:rFonts w:ascii="Calibri" w:cs="Calibri" w:eastAsia="Calibri" w:hAnsi="Calibri"/>
          <w:i/>
          <w:iCs/>
          <w:color w:val="8A8A8A"/>
          <w:sz w:val="21"/>
          <w:szCs w:val="21"/>
          <w:lang w:val="es-ES" w:eastAsia="es-ES" w:bidi="es-ES"/>
        </w:rPr>
        <w:t xml:space="preserve">Para el cumplimiento de estos fines, la asociación realizará las siguientes actividades: [listad actividades concretas: charlas, campañas, acompañamiento, formación...].</w:t>
      </w:r>
    </w:p>
    <w:p>
      <w:pPr>
        <w:pBdr>
          <w:bottom w:val="single" w:color="CCCCCC" w:sz="6" w:space="4"/>
        </w:pBdr>
        <w:spacing w:after="100" w:before="260"/>
      </w:pPr>
      <w:r>
        <w:rPr>
          <w:rFonts w:ascii="Cambria" w:cs="Cambria" w:eastAsia="Cambria" w:hAnsi="Cambria"/>
          <w:b/>
          <w:bCs/>
          <w:color w:val="1B2A4A"/>
          <w:sz w:val="24"/>
          <w:szCs w:val="24"/>
          <w:lang w:val="es-ES" w:eastAsia="es-ES" w:bidi="es-ES"/>
        </w:rPr>
        <w:t xml:space="preserve">TÍTULO III. PERSONAS SOCIAS</w:t>
      </w:r>
    </w:p>
    <w:p>
      <w:pPr>
        <w:spacing w:after="60" w:before="160"/>
      </w:pPr>
      <w:r>
        <w:rPr>
          <w:rFonts w:ascii="Cambria" w:cs="Cambria" w:eastAsia="Cambria" w:hAnsi="Cambria"/>
          <w:b/>
          <w:bCs/>
          <w:color w:val="C0451E"/>
          <w:sz w:val="21"/>
          <w:szCs w:val="21"/>
          <w:lang w:val="es-ES" w:eastAsia="es-ES" w:bidi="es-ES"/>
        </w:rPr>
        <w:t xml:space="preserve">Artículo 6. Admisión</w:t>
      </w:r>
    </w:p>
    <w:p>
      <w:pPr>
        <w:spacing w:after="120"/>
      </w:pPr>
      <w:r>
        <w:rPr>
          <w:rFonts w:ascii="Calibri" w:cs="Calibri" w:eastAsia="Calibri" w:hAnsi="Calibri"/>
          <w:i/>
          <w:iCs/>
          <w:color w:val="8A8A8A"/>
          <w:sz w:val="21"/>
          <w:szCs w:val="21"/>
          <w:lang w:val="es-ES" w:eastAsia="es-ES" w:bidi="es-ES"/>
        </w:rPr>
        <w:t xml:space="preserve">Podrá formar parte de la asociación cualquier persona física con capacidad de obrar que lo solicite y sea aceptada según el procedimiento que determine [la Junta Directiva / la Asamblea General].</w:t>
      </w:r>
    </w:p>
    <w:p>
      <w:pPr>
        <w:spacing w:after="60" w:before="160"/>
      </w:pPr>
      <w:r>
        <w:rPr>
          <w:rFonts w:ascii="Cambria" w:cs="Cambria" w:eastAsia="Cambria" w:hAnsi="Cambria"/>
          <w:b/>
          <w:bCs/>
          <w:color w:val="C0451E"/>
          <w:sz w:val="21"/>
          <w:szCs w:val="21"/>
          <w:lang w:val="es-ES" w:eastAsia="es-ES" w:bidi="es-ES"/>
        </w:rPr>
        <w:t xml:space="preserve">Artículo 7. Derechos y deberes</w:t>
      </w:r>
    </w:p>
    <w:p>
      <w:pPr>
        <w:spacing w:after="120"/>
      </w:pPr>
      <w:r>
        <w:rPr>
          <w:rFonts w:ascii="Calibri" w:cs="Calibri" w:eastAsia="Calibri" w:hAnsi="Calibri"/>
          <w:i/>
          <w:iCs/>
          <w:color w:val="8A8A8A"/>
          <w:sz w:val="21"/>
          <w:szCs w:val="21"/>
          <w:lang w:val="es-ES" w:eastAsia="es-ES" w:bidi="es-ES"/>
        </w:rPr>
        <w:t xml:space="preserve">Las personas socias tienen derecho a participar en las actividades, asistir con voz y voto a la Asamblea General, y ser informadas de la marcha de la asociación. Tienen el deber de cumplir estos estatutos y los acuerdos válidamente adoptados, y de abonar, en su caso, las cuotas establecidas.</w:t>
      </w:r>
    </w:p>
    <w:p>
      <w:pPr>
        <w:spacing w:after="60" w:before="160"/>
      </w:pPr>
      <w:r>
        <w:rPr>
          <w:rFonts w:ascii="Cambria" w:cs="Cambria" w:eastAsia="Cambria" w:hAnsi="Cambria"/>
          <w:b/>
          <w:bCs/>
          <w:color w:val="C0451E"/>
          <w:sz w:val="21"/>
          <w:szCs w:val="21"/>
          <w:lang w:val="es-ES" w:eastAsia="es-ES" w:bidi="es-ES"/>
        </w:rPr>
        <w:t xml:space="preserve">Artículo 8. Baja</w:t>
      </w:r>
    </w:p>
    <w:p>
      <w:pPr>
        <w:spacing w:after="120"/>
      </w:pPr>
      <w:r>
        <w:rPr>
          <w:rFonts w:ascii="Calibri" w:cs="Calibri" w:eastAsia="Calibri" w:hAnsi="Calibri"/>
          <w:i/>
          <w:iCs/>
          <w:color w:val="8A8A8A"/>
          <w:sz w:val="21"/>
          <w:szCs w:val="21"/>
          <w:lang w:val="es-ES" w:eastAsia="es-ES" w:bidi="es-ES"/>
        </w:rPr>
        <w:t xml:space="preserve">La condición de persona socia se pierde por voluntad propia, por incumplimiento grave de los estatutos, o por [otras causas que decidáis], siguiendo el procedimiento que se establezca.</w:t>
      </w:r>
    </w:p>
    <w:p>
      <w:pPr>
        <w:pBdr>
          <w:bottom w:val="single" w:color="CCCCCC" w:sz="6" w:space="4"/>
        </w:pBdr>
        <w:spacing w:after="100" w:before="260"/>
      </w:pPr>
      <w:r>
        <w:rPr>
          <w:rFonts w:ascii="Cambria" w:cs="Cambria" w:eastAsia="Cambria" w:hAnsi="Cambria"/>
          <w:b/>
          <w:bCs/>
          <w:color w:val="1B2A4A"/>
          <w:sz w:val="24"/>
          <w:szCs w:val="24"/>
          <w:lang w:val="es-ES" w:eastAsia="es-ES" w:bidi="es-ES"/>
        </w:rPr>
        <w:t xml:space="preserve">TÍTULO IV. ÓRGANOS DE GOBIERNO</w:t>
      </w:r>
    </w:p>
    <w:p>
      <w:pPr>
        <w:spacing w:after="60" w:before="160"/>
      </w:pPr>
      <w:r>
        <w:rPr>
          <w:rFonts w:ascii="Cambria" w:cs="Cambria" w:eastAsia="Cambria" w:hAnsi="Cambria"/>
          <w:b/>
          <w:bCs/>
          <w:color w:val="C0451E"/>
          <w:sz w:val="21"/>
          <w:szCs w:val="21"/>
          <w:lang w:val="es-ES" w:eastAsia="es-ES" w:bidi="es-ES"/>
        </w:rPr>
        <w:t xml:space="preserve">Artículo 9. La Asamblea General</w:t>
      </w:r>
    </w:p>
    <w:p>
      <w:pPr>
        <w:spacing w:after="120"/>
      </w:pPr>
      <w:r>
        <w:rPr>
          <w:rFonts w:ascii="Calibri" w:cs="Calibri" w:eastAsia="Calibri" w:hAnsi="Calibri"/>
          <w:i/>
          <w:iCs/>
          <w:color w:val="8A8A8A"/>
          <w:sz w:val="21"/>
          <w:szCs w:val="21"/>
          <w:lang w:val="es-ES" w:eastAsia="es-ES" w:bidi="es-ES"/>
        </w:rPr>
        <w:t xml:space="preserve">La Asamblea General es el órgano supremo de gobierno de la asociación, integrado por todas las personas socias. Se reunirá con carácter ordinario al menos una vez al año, y con carácter extraordinario cuando lo acuerde la Junta Directiva o lo solicite [un porcentaje] de las personas socias.</w:t>
      </w:r>
    </w:p>
    <w:p>
      <w:pPr>
        <w:spacing w:after="60" w:before="160"/>
      </w:pPr>
      <w:r>
        <w:rPr>
          <w:rFonts w:ascii="Cambria" w:cs="Cambria" w:eastAsia="Cambria" w:hAnsi="Cambria"/>
          <w:b/>
          <w:bCs/>
          <w:color w:val="C0451E"/>
          <w:sz w:val="21"/>
          <w:szCs w:val="21"/>
          <w:lang w:val="es-ES" w:eastAsia="es-ES" w:bidi="es-ES"/>
        </w:rPr>
        <w:t xml:space="preserve">Artículo 10. La Junta Directiva</w:t>
      </w:r>
    </w:p>
    <w:p>
      <w:pPr>
        <w:spacing w:after="120"/>
      </w:pPr>
      <w:r>
        <w:rPr>
          <w:rFonts w:ascii="Calibri" w:cs="Calibri" w:eastAsia="Calibri" w:hAnsi="Calibri"/>
          <w:i/>
          <w:iCs/>
          <w:color w:val="8A8A8A"/>
          <w:sz w:val="21"/>
          <w:szCs w:val="21"/>
          <w:lang w:val="es-ES" w:eastAsia="es-ES" w:bidi="es-ES"/>
        </w:rPr>
        <w:t xml:space="preserve">La Junta Directiva es el órgano de representación y gestión de la asociación. Estará compuesta por [Presidencia, Secretaría, Tesorería y (opcional) Vocalías], elegidas por la Asamblea General por un periodo de [número] años, con posibilidad de reelección.</w:t>
      </w:r>
    </w:p>
    <w:p>
      <w:pPr>
        <w:spacing w:after="60" w:before="160"/>
      </w:pPr>
      <w:r>
        <w:rPr>
          <w:rFonts w:ascii="Cambria" w:cs="Cambria" w:eastAsia="Cambria" w:hAnsi="Cambria"/>
          <w:b/>
          <w:bCs/>
          <w:color w:val="C0451E"/>
          <w:sz w:val="21"/>
          <w:szCs w:val="21"/>
          <w:lang w:val="es-ES" w:eastAsia="es-ES" w:bidi="es-ES"/>
        </w:rPr>
        <w:t xml:space="preserve">Artículo 11. Funciones de la Junta Directiva</w:t>
      </w:r>
    </w:p>
    <w:p>
      <w:pPr>
        <w:spacing w:after="120"/>
      </w:pPr>
      <w:r>
        <w:rPr>
          <w:rFonts w:ascii="Calibri" w:cs="Calibri" w:eastAsia="Calibri" w:hAnsi="Calibri"/>
          <w:i/>
          <w:iCs/>
          <w:color w:val="8A8A8A"/>
          <w:sz w:val="21"/>
          <w:szCs w:val="21"/>
          <w:lang w:val="es-ES" w:eastAsia="es-ES" w:bidi="es-ES"/>
        </w:rPr>
        <w:t xml:space="preserve">Corresponde a la Junta Directiva: ejecutar los acuerdos de la Asamblea General, llevar la gestión económica y administrativa, elaborar la memoria y las cuentas anuales, y aquellas otras funciones que le encomienden estos estatutos.</w:t>
      </w:r>
    </w:p>
    <w:p>
      <w:pPr>
        <w:pBdr>
          <w:bottom w:val="single" w:color="CCCCCC" w:sz="6" w:space="4"/>
        </w:pBdr>
        <w:spacing w:after="100" w:before="260"/>
      </w:pPr>
      <w:r>
        <w:rPr>
          <w:rFonts w:ascii="Cambria" w:cs="Cambria" w:eastAsia="Cambria" w:hAnsi="Cambria"/>
          <w:b/>
          <w:bCs/>
          <w:color w:val="1B2A4A"/>
          <w:sz w:val="24"/>
          <w:szCs w:val="24"/>
          <w:lang w:val="es-ES" w:eastAsia="es-ES" w:bidi="es-ES"/>
        </w:rPr>
        <w:t xml:space="preserve">TÍTULO V. RÉGIMEN ECONÓMICO</w:t>
      </w:r>
    </w:p>
    <w:p>
      <w:pPr>
        <w:spacing w:after="60" w:before="160"/>
      </w:pPr>
      <w:r>
        <w:rPr>
          <w:rFonts w:ascii="Cambria" w:cs="Cambria" w:eastAsia="Cambria" w:hAnsi="Cambria"/>
          <w:b/>
          <w:bCs/>
          <w:color w:val="C0451E"/>
          <w:sz w:val="21"/>
          <w:szCs w:val="21"/>
          <w:lang w:val="es-ES" w:eastAsia="es-ES" w:bidi="es-ES"/>
        </w:rPr>
        <w:t xml:space="preserve">Artículo 12. Recursos económicos</w:t>
      </w:r>
    </w:p>
    <w:p>
      <w:pPr>
        <w:spacing w:after="120"/>
      </w:pPr>
      <w:r>
        <w:rPr>
          <w:rFonts w:ascii="Calibri" w:cs="Calibri" w:eastAsia="Calibri" w:hAnsi="Calibri"/>
          <w:i/>
          <w:iCs/>
          <w:color w:val="8A8A8A"/>
          <w:sz w:val="21"/>
          <w:szCs w:val="21"/>
          <w:lang w:val="es-ES" w:eastAsia="es-ES" w:bidi="es-ES"/>
        </w:rPr>
        <w:t xml:space="preserve">Los recursos de la asociación podrán proceder de cuotas de personas socias, subvenciones públicas, donaciones privadas y cualquier otra fuente lícita compatible con sus fines.</w:t>
      </w:r>
    </w:p>
    <w:p>
      <w:pPr>
        <w:spacing w:after="60" w:before="160"/>
      </w:pPr>
      <w:r>
        <w:rPr>
          <w:rFonts w:ascii="Cambria" w:cs="Cambria" w:eastAsia="Cambria" w:hAnsi="Cambria"/>
          <w:b/>
          <w:bCs/>
          <w:color w:val="C0451E"/>
          <w:sz w:val="21"/>
          <w:szCs w:val="21"/>
          <w:lang w:val="es-ES" w:eastAsia="es-ES" w:bidi="es-ES"/>
        </w:rPr>
        <w:t xml:space="preserve">Artículo 13. Patrimonio</w:t>
      </w:r>
    </w:p>
    <w:p>
      <w:pPr>
        <w:spacing w:after="120"/>
      </w:pPr>
      <w:r>
        <w:rPr>
          <w:rFonts w:ascii="Calibri" w:cs="Calibri" w:eastAsia="Calibri" w:hAnsi="Calibri"/>
          <w:i/>
          <w:iCs/>
          <w:color w:val="8A8A8A"/>
          <w:sz w:val="21"/>
          <w:szCs w:val="21"/>
          <w:lang w:val="es-ES" w:eastAsia="es-ES" w:bidi="es-ES"/>
        </w:rPr>
        <w:t xml:space="preserve">La asociación carece de patrimonio fundacional. Su presupuesto anual será el que determine la Asamblea General.</w:t>
      </w:r>
    </w:p>
    <w:p>
      <w:pPr>
        <w:pBdr>
          <w:bottom w:val="single" w:color="CCCCCC" w:sz="6" w:space="4"/>
        </w:pBdr>
        <w:spacing w:after="100" w:before="260"/>
      </w:pPr>
      <w:r>
        <w:rPr>
          <w:rFonts w:ascii="Cambria" w:cs="Cambria" w:eastAsia="Cambria" w:hAnsi="Cambria"/>
          <w:b/>
          <w:bCs/>
          <w:color w:val="1B2A4A"/>
          <w:sz w:val="24"/>
          <w:szCs w:val="24"/>
          <w:lang w:val="es-ES" w:eastAsia="es-ES" w:bidi="es-ES"/>
        </w:rPr>
        <w:t xml:space="preserve">TÍTULO VI. DISOLUCIÓN</w:t>
      </w:r>
    </w:p>
    <w:p>
      <w:pPr>
        <w:spacing w:after="60" w:before="160"/>
      </w:pPr>
      <w:r>
        <w:rPr>
          <w:rFonts w:ascii="Cambria" w:cs="Cambria" w:eastAsia="Cambria" w:hAnsi="Cambria"/>
          <w:b/>
          <w:bCs/>
          <w:color w:val="C0451E"/>
          <w:sz w:val="21"/>
          <w:szCs w:val="21"/>
          <w:lang w:val="es-ES" w:eastAsia="es-ES" w:bidi="es-ES"/>
        </w:rPr>
        <w:t xml:space="preserve">Artículo 14. Causas y destino del patrimonio</w:t>
      </w:r>
    </w:p>
    <w:p>
      <w:pPr>
        <w:spacing w:after="200"/>
      </w:pPr>
      <w:r>
        <w:rPr>
          <w:rFonts w:ascii="Calibri" w:cs="Calibri" w:eastAsia="Calibri" w:hAnsi="Calibri"/>
          <w:i/>
          <w:iCs/>
          <w:color w:val="8A8A8A"/>
          <w:sz w:val="21"/>
          <w:szCs w:val="21"/>
          <w:lang w:val="es-ES" w:eastAsia="es-ES" w:bidi="es-ES"/>
        </w:rPr>
        <w:t xml:space="preserve">La asociación se disolverá por acuerdo de la Asamblea General o por las causas previstas en la normativa vigente. En caso de disolución, el patrimonio resultante se destinará a [otra entidad sin ánimo de lucro con fines similares], nunca a las personas socias.</w:t>
      </w:r>
    </w:p>
    <w:p>
      <w:pPr>
        <w:pBdr>
          <w:left w:val="single" w:color="C0451E" w:sz="18" w:space="8"/>
        </w:pBdr>
        <w:shd w:fill="F2EFE9" w:val="clear"/>
        <w:spacing w:after="160" w:before="100"/>
      </w:pPr>
      <w:r>
        <w:rPr>
          <w:rFonts w:ascii="Calibri" w:cs="Calibri" w:eastAsia="Calibri" w:hAnsi="Calibri"/>
          <w:i/>
          <w:iCs/>
          <w:color w:val="555555"/>
          <w:sz w:val="18"/>
          <w:szCs w:val="18"/>
          <w:lang w:val="es-ES" w:eastAsia="es-ES" w:bidi="es-ES"/>
        </w:rPr>
        <w:t xml:space="preserve">Recordatorio: antes de presentar estos estatutos en el registro correspondiente, comprobad el contenido mínimo exigido en vuestra normativa autonómica y, si tenéis dudas, consultad con una entidad de apoyo al tejido asociativo o con asesoría legal.</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999999"/>
        <w:sz w:val="16"/>
        <w:szCs w:val="16"/>
        <w:lang w:val="es-ES" w:eastAsia="es-ES" w:bidi="es-ES"/>
      </w:rPr>
      <w:t xml:space="preserve">Plantilla de estatutos básicos · Amnistía Internacional España — recursos para organizaciones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999999"/>
        <w:sz w:val="16"/>
        <w:szCs w:val="16"/>
        <w:lang w:val="es-ES" w:eastAsia="es-ES" w:bidi="es-ES"/>
      </w:rPr>
      <w:t xml:space="preserve">Material complementario — Guía 13: Primeros pasos para crear una organización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es-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s-ES" w:eastAsia="es-ES" w:bidi="es-ES"/>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2026-08-16T10:04:34.478Z</dcterms:created>
  <dcterms:modified xsi:type="dcterms:W3CDTF">2026-08-16T10:04:34.478Z</dcterms:modified>
  <dc:language>es-ES</dc:language>
</cp:coreProperties>
</file>

<file path=docProps/custom.xml><?xml version="1.0" encoding="utf-8"?>
<Properties xmlns="http://schemas.openxmlformats.org/officeDocument/2006/custom-properties" xmlns:vt="http://schemas.openxmlformats.org/officeDocument/2006/docPropsVTypes"/>
</file>